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80"/>
        <w:gridCol w:w="220"/>
        <w:gridCol w:w="2780"/>
        <w:gridCol w:w="20"/>
        <w:gridCol w:w="400"/>
        <w:gridCol w:w="380"/>
        <w:gridCol w:w="1820"/>
        <w:gridCol w:w="1600"/>
        <w:gridCol w:w="1800"/>
        <w:gridCol w:w="1580"/>
        <w:gridCol w:w="20"/>
        <w:gridCol w:w="600"/>
        <w:gridCol w:w="1"/>
      </w:tblGrid>
      <w:tr>
        <w:trPr>
          <w:trHeight w:hRule="exact" w:val="0"/>
        </w:trPr>
        <w:tc>
          <w:tcPr>
     </w:tcPr>
          <w:p>
            <w:pPr>
              <w:pStyle w:val="EMPTY_CELL_STYLE"/>
            </w:pPr>
            <w:bookmarkStart w:id="0" w:name="JR_PAGE_ANCHOR_0_1"/>
            <w:bookmarkEnd w:id="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gridSpan w:val="13"/>
            <w:tcMar>
              <w:top w:w="0" w:type="dxa"/>
              <w:left w:w="0" w:type="dxa"/>
              <w:bottom w:w="0" w:type="dxa"/>
              <w:right w:w="0" w:type="dxa"/>
            </w:tcMar>
            <w:vAlign w:val="center"/>
          </w:tcPr>
          <w:p>
            <w:pPr>
              <w:ind/>
              <w:jc w:val="center"/>
            </w:pPr>
            <w:r>
              <w:rPr>
                <w:rFonts w:ascii="宋体" w:hAnsi="宋体" w:eastAsia="宋体" w:cs="宋体"/>
                <w:color w:val="000000"/>
                <w:sz w:val="44"/>
                <w:b w:val="true"/>
              </w:rPr>
              <w:t xml:space="preserve">富滇银行“富聚财富鑫益系列人民币理财计划2613期”封闭式理财计划</w:t>
            </w:r>
          </w:p>
        </w:tc>
        <w:tc>
          <w:tcPr>
     </w:tcPr>
          <w:p>
            <w:pPr>
              <w:pStyle w:val="EMPTY_CELL_STYLE"/>
            </w:pPr>
          </w:p>
        </w:tc>
      </w:tr>
      <w:tr>
        <w:trPr>
          <w:trHeight w:hRule="exact" w:val="700"/>
        </w:trPr>
        <w:tc>
          <w:tcPr>
     </w:tcPr>
          <w:p>
            <w:pPr>
              <w:pStyle w:val="EMPTY_CELL_STYLE"/>
            </w:pPr>
          </w:p>
        </w:tc>
        <w:tc>
          <w:tcPr>
            <w:gridSpan w:val="11"/>
            <w:tcMar>
              <w:top w:w="0" w:type="dxa"/>
              <w:left w:w="0" w:type="dxa"/>
              <w:bottom w:w="0" w:type="dxa"/>
              <w:right w:w="0" w:type="dxa"/>
            </w:tcMar>
            <w:vAlign w:val="center"/>
          </w:tcPr>
          <w:p>
            <w:pPr>
              <w:ind/>
              <w:jc w:val="center"/>
            </w:pPr>
            <w:r>
              <w:rPr>
                <w:rFonts w:ascii="宋体" w:hAnsi="宋体" w:eastAsia="宋体" w:cs="宋体"/>
                <w:color w:val="000000"/>
                <w:sz w:val="44"/>
                <w:b w:val="true"/>
              </w:rPr>
              <w:t xml:space="preserve">定期公告（2026年三季度报告）</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4"/>
            <w:tcMar>
              <w:top w:w="0" w:type="dxa"/>
              <w:left w:w="0" w:type="dxa"/>
              <w:bottom w:w="0" w:type="dxa"/>
              <w:right w:w="0" w:type="dxa"/>
            </w:tcMar>
            <w:vAlign w:val="center"/>
          </w:tcPr>
          <w:p>
            <w:pPr>
              <w:ind/>
            </w:pPr>
            <w:r>
              <w:rPr>
                <w:rFonts w:ascii="宋体" w:hAnsi="宋体" w:eastAsia="宋体" w:cs="宋体"/>
                <w:color w:val="000000"/>
                <w:sz w:val="32"/>
                <w:b w:val="true"/>
              </w:rPr>
              <w:t xml:space="preserve">尊敬的投资者：</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gridSpan w:val="11"/>
            <w:tcMar>
              <w:top w:w="0" w:type="dxa"/>
              <w:left w:w="0" w:type="dxa"/>
              <w:bottom w:w="0" w:type="dxa"/>
              <w:right w:w="0" w:type="dxa"/>
            </w:tcMar>
            <w:vAlign w:val="center"/>
          </w:tcPr>
          <w:p>
            <w:pPr>
              <w:ind/>
              <w:jc w:val="left"/>
            </w:pPr>
            <w:r>
              <w:rPr>
                <w:rFonts w:ascii="宋体" w:hAnsi="宋体" w:eastAsia="宋体" w:cs="宋体"/>
                <w:color w:val="000000"/>
                <w:sz w:val="32"/>
                <w:b w:val="true"/>
              </w:rPr>
              <w:t xml:space="preserve">现将我行富滇银行“富聚财富鑫益系列人民币理财计划2613期”封闭式理财计划（FX2613）2026年三季度季度投资运作情况公告如下：</w:t>
            </w: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5"/>
            <w:tcMar>
              <w:top w:w="0" w:type="dxa"/>
              <w:left w:w="0" w:type="dxa"/>
              <w:bottom w:w="0" w:type="dxa"/>
              <w:right w:w="0" w:type="dxa"/>
            </w:tcMar>
            <w:vAlign w:val="center"/>
          </w:tcPr>
          <w:p>
            <w:pPr>
              <w:ind/>
            </w:pPr>
            <w:r>
              <w:rPr>
                <w:rFonts w:ascii="宋体" w:hAnsi="宋体" w:eastAsia="宋体" w:cs="宋体"/>
                <w:color w:val="000000"/>
                <w:sz w:val="36"/>
                <w:b w:val="true"/>
              </w:rPr>
              <w:t xml:space="preserve">一、产品基本信息</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产品名称</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富聚财富鑫益系列人民币理财计划2613期</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产品编号</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FX2613</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产品登记编码</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C1091726000007</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产品管理人</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富滇银行股份有限公司</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产品内部风险评级</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低风险（R2）</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产品类型</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固定收益类封闭式净值型</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发行方式</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公募</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产品募集起始日</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2026年06月18日</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产品募集结束日</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2026年06月23日</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投资起始日</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2026年06月24日</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投资到期日</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2027年06月24日</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理财期限</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365</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杠杆水平</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1.000837</w:t>
            </w: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10"/>
            <w:tcMar>
              <w:top w:w="0" w:type="dxa"/>
              <w:left w:w="0" w:type="dxa"/>
              <w:bottom w:w="0" w:type="dxa"/>
              <w:right w:w="0" w:type="dxa"/>
            </w:tcMar>
            <w:vAlign w:val="center"/>
          </w:tcPr>
          <w:p>
            <w:pPr>
              <w:ind/>
              <w:jc w:val="left"/>
            </w:pPr>
            <w:r>
              <w:rPr>
                <w:rFonts w:ascii="宋体" w:hAnsi="宋体" w:eastAsia="宋体" w:cs="宋体"/>
                <w:color w:val="000000"/>
                <w:sz w:val="32"/>
              </w:rPr>
              <w:t xml:space="preserve">注：杠杆水平=总资产/理财产品净资产，理财产品净资产=总资产-总负债</w:t>
            </w:r>
          </w:p>
        </w:tc>
        <w:tc>
          <w:tcPr>
     </w:tcPr>
          <w:p>
            <w:pPr>
              <w:pStyle w:val="EMPTY_CELL_STYLE"/>
            </w:pPr>
          </w:p>
        </w:tc>
        <w:tc>
          <w:tcPr>
     </w:tcPr>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spacing w:lineRule="auto" w:line="360" w:after="0" w:before="0"/>
            </w:pPr>
            <w:r>
              <w:rPr>
                <w:rFonts w:ascii="宋体" w:hAnsi="宋体" w:eastAsia="宋体" w:cs="宋体"/>
                <w:color w:val="000000"/>
                <w:sz w:val="32"/>
              </w:rPr>
              <w:t xml:space="preserve">报告期内产品净值及收益情况</w:t>
            </w: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b w:val="true"/>
              </w:rPr>
              <w:t xml:space="preserve">产品代码/份额代码</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b w:val="true"/>
              </w:rPr>
              <w:t xml:space="preserve">存续规模（份额）</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b w:val="true"/>
              </w:rPr>
              <w:t xml:space="preserve">份额净值</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b w:val="true"/>
              </w:rPr>
              <w:t xml:space="preserve">份额累计净值</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b w:val="true"/>
              </w:rPr>
              <w:t xml:space="preserve">资产净值（元）</w:t>
            </w:r>
          </w:p>
        </w:tc>
        <w:tc>
          <w:tcPr>
     </w:tcPr>
          <w:p>
            <w:pPr>
              <w:pStyle w:val="EMPTY_CELL_STYLE"/>
            </w:pPr>
          </w:p>
        </w:tc>
      </w:tr>
      <w:tr>
        <w:trPr>
          <w:trHeight w:hRule="exact" w:val="600"/>
        </w:trPr>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FX2613</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71963000</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1.0040</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1.0040</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72253728.87</w:t>
            </w:r>
          </w:p>
        </w:tc>
        <w:tc>
          <w:tcPr>
     </w:tcPr>
          <w:p>
            <w:pPr>
              <w:pStyle w:val="EMPTY_CELL_STYLE"/>
            </w:pPr>
          </w:p>
        </w:tc>
      </w:tr>
    </w:tbl>
    <w:tbl>
      <w:tblPr>
        <w:tblLayout w:type="fixed"/>
      </w:tblPr>
      <w:tblGrid>
        <w:gridCol w:w="1"/>
        <w:gridCol w:w="200"/>
        <w:gridCol w:w="40"/>
        <w:gridCol w:w="160"/>
        <w:gridCol w:w="2020"/>
        <w:gridCol w:w="1560"/>
        <w:gridCol w:w="840"/>
        <w:gridCol w:w="1060"/>
        <w:gridCol w:w="1340"/>
        <w:gridCol w:w="560"/>
        <w:gridCol w:w="820"/>
        <w:gridCol w:w="600"/>
        <w:gridCol w:w="240"/>
        <w:gridCol w:w="240"/>
        <w:gridCol w:w="1760"/>
        <w:gridCol w:w="140"/>
        <w:gridCol w:w="1"/>
      </w:tblGrid>
      <w:tr>
        <w:trPr>
          <w:trHeight w:hRule="exact" w:val="400"/>
        </w:trPr>
        <w:tc>
          <w:tcPr>
     </w:tcPr>
          <w:p>
            <w:pPr>
              <w:pStyle w:val="EMPTY_CELL_STYLE"/>
              <w:pageBreakBefore/>
            </w:pPr>
            <w:bookmarkStart w:id="1" w:name="JR_PAGE_ANCHOR_0_2"/>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4"/>
                <w:b w:val="true"/>
              </w:rPr>
              <w:t xml:space="preserve">近一个月年化收益</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4"/>
                <w:b w:val="true"/>
              </w:rPr>
              <w:t xml:space="preserve">近三个月年化收益</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4"/>
                <w:b w:val="true"/>
              </w:rPr>
              <w:t xml:space="preserve">近六个月年化收益</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4"/>
                <w:b w:val="true"/>
              </w:rPr>
              <w:t xml:space="preserve">近一年年化收益</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4"/>
                <w:b w:val="true"/>
              </w:rPr>
              <w:t xml:space="preserve">成立以来年化收益</w:t>
            </w:r>
          </w:p>
        </w:tc>
      </w:tr>
      <w:tr>
        <w:trPr>
          <w:trHeight w:hRule="exact" w:val="800"/>
        </w:trPr>
        <w:tc>
          <w:tcPr>
     </w:tcPr>
          <w:p>
            <w:pPr>
              <w:pStyle w:val="EMPTY_CELL_STYLE"/>
            </w:pPr>
          </w:p>
        </w:tc>
        <w:tc>
          <w:tcPr>
     </w:tcPr>
          <w:p>
            <w:pPr>
              <w:pStyle w:val="EMPTY_CELL_STYLE"/>
            </w:pP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1.1739%</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1.8462%</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0.0000%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0.0000%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1.4747%</w:t>
            </w: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gridSpan w:val="12"/>
            <w:tcMar>
              <w:top w:w="0" w:type="dxa"/>
              <w:left w:w="0" w:type="dxa"/>
              <w:bottom w:w="0" w:type="dxa"/>
              <w:right w:w="0" w:type="dxa"/>
            </w:tcMar>
            <w:vAlign w:val="center"/>
          </w:tcPr>
          <w:p>
            <w:pPr>
              <w:ind/>
            </w:pPr>
            <w:r>
              <w:rPr>
                <w:rFonts w:ascii="宋体" w:hAnsi="宋体" w:eastAsia="宋体" w:cs="宋体"/>
                <w:color w:val="000000"/>
                <w:sz w:val="32"/>
              </w:rPr>
              <w:t xml:space="preserve">特别提示：上述理财计划定期公布的理财期间年化收益率，不代表投资者未来可能获得的实际收益，亦不构成银行对理财计划的任何收益承诺。投资者获得的最终收益以富滇银行实际支付为准</w:t>
            </w: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center"/>
          </w:tcPr>
          <w:p>
            <w:pPr>
              <w:ind/>
            </w:pPr>
            <w:r>
              <w:rPr>
                <w:rFonts w:ascii="宋体" w:hAnsi="宋体" w:eastAsia="宋体" w:cs="宋体"/>
                <w:color w:val="000000"/>
                <w:sz w:val="32"/>
                <w:b w:val="true"/>
              </w:rPr>
              <w:t xml:space="preserve">二、理财产品投资资产情况</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资产类别</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穿透前金额（万元）</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占比（%）</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穿透后金额（万元）</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占比（%）</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现金及银行存款</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26.06</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0.31</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同业存单</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拆放同业及买入返售</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14.64</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0.17</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债券</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8145.79</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96.95</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非标准化债权类资产</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公募基金</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215.74</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2.57</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私募基金</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资产管理产品</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7231.42</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100.00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合计</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7231.42</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100.00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8402.23</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100.00</w:t>
            </w: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10"/>
            <w:tcMar>
              <w:top w:w="0" w:type="dxa"/>
              <w:left w:w="0" w:type="dxa"/>
              <w:bottom w:w="0" w:type="dxa"/>
              <w:right w:w="0" w:type="dxa"/>
            </w:tcMar>
            <w:vAlign w:val="center"/>
          </w:tcPr>
          <w:p>
            <w:pPr>
              <w:ind/>
            </w:pPr>
            <w:r>
              <w:rPr>
                <w:rFonts w:ascii="宋体" w:hAnsi="宋体" w:eastAsia="宋体" w:cs="宋体"/>
                <w:color w:val="000000"/>
                <w:sz w:val="32"/>
              </w:rPr>
              <w:t xml:space="preserve">备注：分类标准采用G06中的大类分类。</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440"/>
        <w:gridCol w:w="1200"/>
        <w:gridCol w:w="200"/>
        <w:gridCol w:w="3600"/>
        <w:gridCol w:w="1200"/>
        <w:gridCol w:w="1400"/>
        <w:gridCol w:w="1200"/>
        <w:gridCol w:w="600"/>
        <w:gridCol w:w="1000"/>
        <w:gridCol w:w="180"/>
        <w:gridCol w:w="300"/>
        <w:gridCol w:w="1"/>
      </w:tblGrid>
      <w:tr>
        <w:trPr>
          <w:trHeight w:hRule="exact" w:val="400"/>
        </w:trPr>
        <w:tc>
          <w:tcPr>
     </w:tcPr>
          <w:p>
            <w:pPr>
              <w:pStyle w:val="EMPTY_CELL_STYLE"/>
              <w:pageBreakBefore/>
            </w:pPr>
            <w:bookmarkStart w:id="2" w:name="JR_PAGE_ANCHOR_0_3"/>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9"/>
            <w:tcMar>
              <w:top w:w="0" w:type="dxa"/>
              <w:left w:w="0" w:type="dxa"/>
              <w:bottom w:w="0" w:type="dxa"/>
              <w:right w:w="0" w:type="dxa"/>
            </w:tcMar>
            <w:vAlign w:val="center"/>
          </w:tcPr>
          <w:p>
            <w:pPr>
              <w:ind/>
            </w:pPr>
            <w:r>
              <w:rPr>
                <w:rFonts w:ascii="宋体" w:hAnsi="宋体" w:eastAsia="宋体" w:cs="宋体"/>
                <w:color w:val="000000"/>
                <w:sz w:val="32"/>
                <w:b w:val="true"/>
              </w:rPr>
              <w:t xml:space="preserve">三、产品持仓前十资产明细</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7"/>
            <w:tcMar>
              <w:top w:w="0" w:type="dxa"/>
              <w:left w:w="0" w:type="dxa"/>
              <w:bottom w:w="0" w:type="dxa"/>
              <w:right w:w="0" w:type="dxa"/>
            </w:tcMar>
            <w:vAlign w:val="center"/>
          </w:tcPr>
          <w:p>
            <w:pPr>
              <w:ind/>
            </w:pPr>
            <w:r>
              <w:rPr>
                <w:rFonts w:ascii="宋体" w:hAnsi="宋体" w:eastAsia="宋体" w:cs="宋体"/>
                <w:color w:val="000000"/>
                <w:sz w:val="32"/>
              </w:rPr>
              <w:t xml:space="preserve">本理财产品所投资的前十项资产明细如下（穿透前）：</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序号</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资产名称</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持仓规模（万元）</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持仓占总资产比例</w:t>
            </w:r>
          </w:p>
        </w:tc>
        <w:tc>
          <w:tcPr>
     </w:tcPr>
          <w:p>
            <w:pPr>
              <w:pStyle w:val="EMPTY_CELL_STYLE"/>
            </w:pPr>
          </w:p>
        </w:tc>
      </w:tr>
      <w:tr>
        <w:trPr>
          <w:trHeight w:hRule="exact" w:val="1200"/>
        </w:trPr>
        <w:tc>
          <w:tcPr>
     </w:tcPr>
          <w:p>
            <w:pPr>
              <w:pStyle w:val="EMPTY_CELL_STYLE"/>
            </w:pP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中信证券富银1号单一资产管理计划</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7231.42</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100.00</w:t>
            </w: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7"/>
            <w:tcMar>
              <w:top w:w="0" w:type="dxa"/>
              <w:left w:w="0" w:type="dxa"/>
              <w:bottom w:w="0" w:type="dxa"/>
              <w:right w:w="0" w:type="dxa"/>
            </w:tcMar>
            <w:vAlign w:val="center"/>
          </w:tcPr>
          <w:p>
            <w:pPr>
              <w:ind/>
            </w:pPr>
            <w:r>
              <w:rPr>
                <w:rFonts w:ascii="宋体" w:hAnsi="宋体" w:eastAsia="宋体" w:cs="宋体"/>
                <w:color w:val="000000"/>
                <w:sz w:val="32"/>
              </w:rPr>
              <w:t xml:space="preserve">本理财产品所投资的前十项资产明细如下（穿透后）：</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序号</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资产名称</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持仓规模（万元）</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持仓占总资产比例</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21张家口银行永续债</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242.33</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2.88</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24鑫诚恒业MTN001</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234.65</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2.79</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3</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兴业转债</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169.24</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2.01</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4</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26青岛银行永续债01</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156.29</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1.86</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5</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26财金02</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141.54</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1.68</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6</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26农行二级资本债02BC</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139.81</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1.66</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7</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24株高06</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128.06</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1.52</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8</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23阳光人寿资本补充债01</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116.28</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1.38</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9</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21合川投资PPN003</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112.11</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1.33</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10</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18鄂联投MTN006</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96.21</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1.15</w:t>
            </w: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180"/>
        <w:gridCol w:w="180"/>
        <w:gridCol w:w="8420"/>
        <w:gridCol w:w="160"/>
        <w:gridCol w:w="2460"/>
        <w:gridCol w:w="80"/>
      </w:tblGrid>
      <w:tr>
        <w:trPr>
          <w:trHeight w:hRule="exact" w:val="400"/>
        </w:trPr>
        <w:tc>
          <w:tcPr>
     </w:tcPr>
          <w:p>
            <w:pPr>
              <w:pStyle w:val="EMPTY_CELL_STYLE"/>
              <w:pageBreakBefore/>
            </w:pPr>
            <w:bookmarkStart w:id="3" w:name="JR_PAGE_ANCHOR_0_4"/>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gridSpan w:val="3"/>
            <w:tcMar>
              <w:top w:w="0" w:type="dxa"/>
              <w:left w:w="0" w:type="dxa"/>
              <w:bottom w:w="0" w:type="dxa"/>
              <w:right w:w="0" w:type="dxa"/>
            </w:tcMar>
            <w:vAlign w:val="center"/>
          </w:tcPr>
          <w:p>
            <w:pPr>
              <w:ind/>
            </w:pPr>
            <w:r>
              <w:rPr>
                <w:rFonts w:ascii="宋体" w:hAnsi="宋体" w:eastAsia="宋体" w:cs="宋体"/>
                <w:color w:val="000000"/>
                <w:sz w:val="32"/>
                <w:b w:val="true"/>
              </w:rPr>
              <w:t xml:space="preserve">四、投资组合流动性风险分析</w:t>
            </w:r>
          </w:p>
        </w:tc>
        <w:tc>
          <w:tcPr>
     </w:tcPr>
          <w:p>
            <w:pPr>
              <w:pStyle w:val="EMPTY_CELL_STYLE"/>
            </w:pPr>
          </w:p>
        </w:tc>
        <w:tc>
          <w:tcPr>
     </w:tcPr>
          <w:p>
            <w:pPr>
              <w:pStyle w:val="EMPTY_CELL_STYLE"/>
            </w:pPr>
          </w:p>
        </w:tc>
      </w:tr>
      <w:tr>
        <w:trPr>
          <w:trHeight w:hRule="exact" w:val="4800"/>
        </w:trPr>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ind/>
            </w:pPr>
            <w:r>
              <w:rPr>
                <w:rFonts w:ascii="宋体" w:hAnsi="宋体" w:eastAsia="宋体" w:cs="宋体"/>
                <w:color w:val="000000"/>
                <w:sz w:val="32"/>
              </w:rPr>
              <w:t xml:space="preserve">本产品投资运营过程中，管理人密切监控本产品组合资产的流动性状况，管控本产品组合资产持仓集中度、高流动性资产持仓比例、流动性受限资产比例、7个工作日可变现资产持仓比例等指标，确保本产品组合资产的变现能力能满足投资者赎回需求及其他支付需求。本报告期内，本产品流动性风险整体可控</w:t>
            </w: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gridSpan w:val="2"/>
            <w:tcMar>
              <w:top w:w="0" w:type="dxa"/>
              <w:left w:w="0" w:type="dxa"/>
              <w:bottom w:w="0" w:type="dxa"/>
              <w:right w:w="0" w:type="dxa"/>
            </w:tcMar>
            <w:vAlign w:val="center"/>
          </w:tcPr>
          <w:p>
            <w:pPr>
              <w:ind/>
            </w:pPr>
            <w:r>
              <w:rPr>
                <w:rFonts w:ascii="宋体" w:hAnsi="宋体" w:eastAsia="宋体" w:cs="宋体"/>
                <w:color w:val="000000"/>
                <w:sz w:val="32"/>
                <w:b w:val="true"/>
              </w:rPr>
              <w:t xml:space="preserve">五、投资运作情况</w:t>
            </w:r>
            <w:r>
              <w:rPr>
                <w:rFonts w:ascii="宋体" w:hAnsi="宋体" w:eastAsia="宋体" w:cs="宋体"/>
                <w:color w:val="000000"/>
                <w:sz w:val="32"/>
              </w:rPr>
              <w:t xml:space="preserve">（包括杠杆水平）</w:t>
            </w:r>
          </w:p>
        </w:tc>
        <w:tc>
          <w:tcPr>
     </w:tcPr>
          <w:p>
            <w:pPr>
              <w:pStyle w:val="EMPTY_CELL_STYLE"/>
            </w:pPr>
          </w:p>
        </w:tc>
        <w:tc>
          <w:tcPr>
     </w:tcPr>
          <w:p>
            <w:pPr>
              <w:pStyle w:val="EMPTY_CELL_STYLE"/>
            </w:pPr>
          </w:p>
        </w:tc>
        <w:tc>
          <w:tcPr>
     </w:tcPr>
          <w:p>
            <w:pPr>
              <w:pStyle w:val="EMPTY_CELL_STYLE"/>
            </w:pPr>
          </w:p>
        </w:tc>
      </w:tr>
      <w:tr>
        <w:trPr>
          <w:trHeight w:hRule="exact" w:val="3800"/>
        </w:trPr>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pPr>
            <w:r>
              <w:rPr>
                <w:rFonts w:ascii="宋体" w:hAnsi="宋体" w:eastAsia="宋体" w:cs="宋体"/>
                <w:color w:val="000000"/>
                <w:sz w:val="32"/>
              </w:rPr>
              <w:t xml:space="preserve">本产品严控信用风险，根据债券市场走势灵活调整产品杠杆和久期水平，通过信用精选、骑乘、波段交易等策略追求增厚产品收益，在保障组合流动性和安全性基础上，力争实现资产增值。"</w:t>
            </w: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Mar>
              <w:top w:w="0" w:type="dxa"/>
              <w:left w:w="0" w:type="dxa"/>
              <w:bottom w:w="0" w:type="dxa"/>
              <w:right w:w="0" w:type="dxa"/>
            </w:tcMar>
            <w:vAlign w:val="center"/>
          </w:tcPr>
          <w:p>
            <w:pPr>
              <w:ind/>
              <w:spacing w:lineRule="auto" w:line="240" w:after="0" w:before="0"/>
            </w:pPr>
            <w:r>
              <w:rPr>
                <w:rFonts w:ascii="宋体" w:hAnsi="宋体" w:eastAsia="宋体" w:cs="宋体"/>
                <w:color w:val="000000"/>
                <w:sz w:val="32"/>
                <w:b w:val="true"/>
              </w:rPr>
              <w:t xml:space="preserve">六、风险状况</w:t>
            </w:r>
            <w:r>
              <w:rPr>
                <w:rFonts w:ascii="宋体" w:hAnsi="宋体" w:eastAsia="宋体" w:cs="宋体"/>
                <w:color w:val="000000"/>
                <w:sz w:val="32"/>
              </w:rPr>
              <w:t xml:space="preserve">（可能对投资者权益产生重大影响的风险事件等信息）</w:t>
            </w:r>
          </w:p>
        </w:tc>
      </w:tr>
      <w:tr>
        <w:trPr>
          <w:trHeight w:hRule="exact" w:val="3200"/>
        </w:trPr>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ind/>
            </w:pPr>
            <w:r>
              <w:rPr>
                <w:rFonts w:ascii="宋体" w:hAnsi="宋体" w:eastAsia="宋体" w:cs="宋体"/>
                <w:color w:val="000000"/>
                <w:sz w:val="32"/>
              </w:rPr>
              <w:t xml:space="preserve">管理人针对计划的运作特点，通过每日的风险监控工作以及风险预警机制，及时发现运作过程中可能出现的风险状况，并提醒投资经理采取相应的风险规避措施，确保本计划合法合规、正常运行。同时，本计划通过完善的风险指标体系和定期进行的风险状况分析，及时评估计划运作过程中面临的各种风险，为投资决策提供风险分析支持，确保本计划运作风险水平与其投资目标相一致，以实现追求中长期内资本增值的投资目标。</w:t>
            </w:r>
          </w:p>
        </w:tc>
        <w:tc>
          <w:tcPr>
     </w:tcPr>
          <w:p>
            <w:pPr>
              <w:pStyle w:val="EMPTY_CELL_STYLE"/>
            </w:pPr>
          </w:p>
        </w:tc>
      </w:tr>
    </w:tbl>
    <w:tbl>
      <w:tblPr>
        <w:tblLayout w:type="fixed"/>
      </w:tblPr>
      <w:tblGrid>
        <w:gridCol w:w="1"/>
        <w:gridCol w:w="60"/>
        <w:gridCol w:w="120"/>
        <w:gridCol w:w="20"/>
        <w:gridCol w:w="200"/>
        <w:gridCol w:w="400"/>
        <w:gridCol w:w="400"/>
        <w:gridCol w:w="980"/>
        <w:gridCol w:w="1220"/>
        <w:gridCol w:w="160"/>
        <w:gridCol w:w="1380"/>
        <w:gridCol w:w="1220"/>
        <w:gridCol w:w="160"/>
        <w:gridCol w:w="1380"/>
        <w:gridCol w:w="1120"/>
        <w:gridCol w:w="140"/>
        <w:gridCol w:w="440"/>
        <w:gridCol w:w="1180"/>
        <w:gridCol w:w="220"/>
        <w:gridCol w:w="180"/>
        <w:gridCol w:w="60"/>
        <w:gridCol w:w="140"/>
        <w:gridCol w:w="100"/>
        <w:gridCol w:w="200"/>
      </w:tblGrid>
      <w:tr>
        <w:trPr>
          <w:trHeight w:hRule="exact" w:val="600"/>
        </w:trPr>
        <w:tc>
          <w:tcPr>
     </w:tcPr>
          <w:p>
            <w:pPr>
              <w:pStyle w:val="EMPTY_CELL_STYLE"/>
              <w:pageBreakBefore/>
            </w:pPr>
            <w:bookmarkStart w:id="4" w:name="JR_PAGE_ANCHOR_0_5"/>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宋体" w:hAnsi="宋体" w:eastAsia="宋体" w:cs="宋体"/>
                <w:color w:val="000000"/>
                <w:sz w:val="32"/>
                <w:b w:val="true"/>
              </w:rPr>
              <w:t xml:space="preserve">七、关联交易情况</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序号</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证券简称</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证券类别</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证券代码</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交易数量</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交易净价</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关联方名称</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关联方角色</w:t>
            </w:r>
          </w:p>
        </w:tc>
        <w:tc>
          <w:tcPr>
     </w:tcPr>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gridSpan w:val="13"/>
            <w:tcMar>
              <w:top w:w="0" w:type="dxa"/>
              <w:left w:w="0" w:type="dxa"/>
              <w:bottom w:w="0" w:type="dxa"/>
              <w:right w:w="0" w:type="dxa"/>
            </w:tcMar>
            <w:vAlign w:val="center"/>
          </w:tcPr>
          <w:p>
            <w:pPr>
              <w:ind/>
            </w:pPr>
            <w:r>
              <w:rPr>
                <w:rFonts w:ascii="宋体" w:hAnsi="宋体" w:eastAsia="宋体" w:cs="宋体"/>
                <w:color w:val="000000"/>
                <w:sz w:val="32"/>
              </w:rPr>
              <w:t xml:space="preserve">（二）其他关联交易</w:t>
              <w:br/>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宋体" w:hAnsi="宋体" w:eastAsia="宋体" w:cs="宋体"/>
                <w:color w:val="000000"/>
                <w:sz w:val="32"/>
              </w:rPr>
              <w:t xml:space="preserve">无</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3"/>
            <w:tcMar>
              <w:top w:w="0" w:type="dxa"/>
              <w:left w:w="0" w:type="dxa"/>
              <w:bottom w:w="0" w:type="dxa"/>
              <w:right w:w="0" w:type="dxa"/>
            </w:tcMar>
            <w:vAlign w:val="center"/>
          </w:tcPr>
          <w:p>
            <w:pPr>
              <w:ind/>
              <w:spacing w:lineRule="auto" w:line="240" w:after="0" w:before="0"/>
            </w:pPr>
            <w:r>
              <w:rPr>
                <w:rFonts w:ascii="宋体" w:hAnsi="宋体" w:eastAsia="宋体" w:cs="宋体"/>
                <w:color w:val="000000"/>
                <w:sz w:val="32"/>
                <w:b w:val="true"/>
              </w:rPr>
              <w:t xml:space="preserve">八、托管人履职情况报告</w:t>
            </w:r>
          </w:p>
        </w:tc>
      </w:tr>
      <w:tr>
        <w:trPr>
          <w:trHeight w:hRule="exact" w:val="5000"/>
        </w:trPr>
        <w:tc>
          <w:tcPr>
     </w:tcPr>
          <w:p>
            <w:pPr>
              <w:pStyle w:val="EMPTY_CELL_STYLE"/>
            </w:pPr>
          </w:p>
        </w:tc>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ind/>
            </w:pPr>
            <w:r>
              <w:rPr>
                <w:rFonts w:ascii="宋体" w:hAnsi="宋体" w:eastAsia="宋体" w:cs="宋体"/>
                <w:color w:val="000000"/>
                <w:sz w:val="32"/>
              </w:rPr>
              <w:t xml:space="preserve">2026年7月1日至2026年9月30日，本托管人在对“富聚财富”鑫益系列人民币理财计划的托管过程中，严格遵守《中华人民共和国证券投资基金法》及其他法律法规和托管协议的有关规定，尽职尽责地履行了托管人应尽的义务。</w:t>
              <w:br/>
              <w:t xml:space="preserve">本报告期内，托管人根据《中华人民共和国证券投资基金法》及其他法律法规、资产管理合同等规定，对本资产管理计划管理人的投资运作进行了必要的监督，对资产净值的计算、份额的参与与退出价格计算、以及费用开支等方面进行了认真地复核，未发现本计划管理人存在损害份额持有人利益的行为。</w:t>
              <w:br/>
              <w:t xml:space="preserve">本托管人依法对富滇银行股份有限公司编制的“富聚财富”鑫益系列人民币理财计划2026年三季度估值信息中的主要财务指标、净值表现、收益分配情况等进行了核查，以上内容真实、准确和完整。</w:t>
              <w:br/>
              <w:t xml:space="preserve">中国工商银行股份有限公司云南省分行养老金融与资产托管部</w:t>
              <w:br/>
              <w:t xml:space="preserve">2026年10月</w:t>
            </w: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宋体" w:hAnsi="宋体" w:eastAsia="宋体" w:cs="宋体"/>
                <w:color w:val="000000"/>
                <w:sz w:val="32"/>
                <w:b w:val="true"/>
              </w:rPr>
              <w:t xml:space="preserve">九、投资账户信息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序号</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账户类型</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账户账号</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账户名称</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开户行</w:t>
            </w: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rPr>
              <w:t xml:space="preserve">1</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rPr>
              <w:t xml:space="preserve">托管账户</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rPr>
              <w:t xml:space="preserve">2502010329200214607</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rPr>
              <w:t xml:space="preserve">富滇银行股份有限公司理财专户</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rPr>
              <w:t xml:space="preserve">中国工商银行股份有限公司昆明分行营业室</w:t>
            </w:r>
          </w:p>
        </w:tc>
        <w:tc>
          <w:tcPr>
     </w:tcPr>
          <w:p>
            <w:pPr>
              <w:pStyle w:val="EMPTY_CELL_STYLE"/>
            </w:pPr>
          </w:p>
        </w:tc>
        <w:tc>
          <w:tcPr>
     </w:tcPr>
          <w:p>
            <w:pPr>
              <w:pStyle w:val="EMPTY_CELL_STYLE"/>
            </w:pPr>
          </w:p>
        </w:tc>
        <w:tc>
          <w:tcPr>
     </w:tcPr>
          <w:p>
            <w:pPr>
              <w:pStyle w:val="EMPTY_CELL_STYLE"/>
            </w:pPr>
          </w:p>
        </w:tc>
      </w:tr>
    </w:tbl>
    <w:tbl>
      <w:tblPr>
        <w:tblLayout w:type="fixed"/>
      </w:tblPr>
      <w:tblGrid>
        <w:gridCol w:w="200"/>
        <w:gridCol w:w="3200"/>
        <w:gridCol w:w="5000"/>
        <w:gridCol w:w="2800"/>
      </w:tblGrid>
      <w:tr>
        <w:trPr>
          <w:trHeight w:hRule="exact" w:val="800"/>
        </w:trPr>
        <w:tc>
          <w:tcPr>
     </w:tcPr>
          <w:p>
            <w:pPr>
              <w:pStyle w:val="EMPTY_CELL_STYLE"/>
              <w:pageBreakBefore/>
            </w:pPr>
            <w:bookmarkStart w:id="5" w:name="JR_PAGE_ANCHOR_0_6"/>
            <w:bookmarkEnd w:id="5"/>
          </w:p>
        </w:tc>
        <w:tc>
          <w:tcPr>
     </w:tcPr>
          <w:p>
            <w:pPr>
              <w:pStyle w:val="EMPTY_CELL_STYLE"/>
            </w:pPr>
          </w:p>
        </w:tc>
        <w:tc>
          <w:tcPr>
     </w:tcPr>
          <w:p>
            <w:pPr>
              <w:pStyle w:val="EMPTY_CELL_STYLE"/>
            </w:pPr>
          </w:p>
        </w:tc>
        <w:tc>
          <w:tcPr>
     </w:tcPr>
          <w:p>
            <w:pPr>
              <w:pStyle w:val="EMPTY_CELL_STYLE"/>
            </w:pPr>
          </w:p>
        </w:tc>
      </w:tr>
      <w:tr>
        <w:trPr>
          <w:trHeight w:hRule="exact" w:val="580"/>
        </w:trPr>
        <w:tc>
          <w:tcPr>
     </w:tcPr>
          <w:p>
            <w:pPr>
              <w:pStyle w:val="EMPTY_CELL_STYLE"/>
            </w:pPr>
          </w:p>
        </w:tc>
        <w:tc>
          <w:tcPr>
            <w:tcMar>
              <w:top w:w="0" w:type="dxa"/>
              <w:left w:w="0" w:type="dxa"/>
              <w:bottom w:w="0" w:type="dxa"/>
              <w:right w:w="0" w:type="dxa"/>
            </w:tcMar>
            <w:vAlign w:val="center"/>
          </w:tcPr>
          <w:p>
            <w:pPr>
              <w:ind/>
              <w:jc w:val="left"/>
            </w:pPr>
            <w:r>
              <w:rPr>
                <w:rFonts w:ascii="宋体" w:hAnsi="宋体" w:eastAsia="宋体" w:cs="宋体"/>
                <w:color w:val="000000"/>
                <w:sz w:val="32"/>
              </w:rPr>
              <w:t xml:space="preserve">特此公告！</w:t>
            </w: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center"/>
          </w:tcPr>
          <w:p>
            <w:pPr>
              <w:ind/>
              <w:jc w:val="center"/>
            </w:pPr>
            <w:r>
              <w:rPr>
                <w:rFonts w:ascii="宋体" w:hAnsi="宋体" w:eastAsia="宋体" w:cs="宋体"/>
                <w:color w:val="000000"/>
                <w:sz w:val="32"/>
              </w:rPr>
              <w:t xml:space="preserve">富滇银行</w:t>
            </w:r>
          </w:p>
        </w:tc>
      </w:tr>
      <w:tr>
        <w:trPr>
          <w:trHeight w:hRule="exact" w:val="600"/>
        </w:trPr>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center"/>
          </w:tcPr>
          <w:p>
            <w:pPr>
              <w:ind/>
              <w:jc w:val="center"/>
            </w:pPr>
            <w:r>
              <w:rPr>
                <w:rFonts w:ascii="宋体" w:hAnsi="宋体" w:eastAsia="宋体" w:cs="宋体"/>
                <w:color w:val="000000"/>
                <w:sz w:val="32"/>
              </w:rPr>
              <w:t xml:space="preserve">2026年10月9日</w:t>
            </w:r>
          </w:p>
        </w:tc>
      </w:tr>
    </w:tbl>
    <w:sectPr>
      <w:pgSz w:w="11900" w:h="16840" w:orient="portrait"/>
      <w:pgMar w:top="400" w:right="0" w:bottom="40" w:left="400" w:header="0" w:footer="0" w:gutter="0"/>
      <w:docGrid w:linePitch="360"/>
    </w:sectPr>
  </w:body>
</w:document>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pPr>
      <w:ind/>
    </w:pPr>
    <w:rPr>
      <w:rFonts w:ascii="SansSerif" w:hAnsi="SansSerif" w:eastAsia="SansSerif" w:cs="SansSerif"/>
      <w:color w:val="000000"/>
      <w:sz w:val="1"/>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

<file path=docProps/app.xml><?xml version="1.0" encoding="utf-8"?>
<Properties xmlns="http://schemas.openxmlformats.org/officeDocument/2006/extended-properties">
  <Application>JasperReports Library version 6.6.0</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