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tiff" ContentType="image/tif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w:body>
    <w:tbl>
      <w:tblPr>
        <w:tblLayout w:type="fixed"/>
      </w:tblPr>
      <w:tblGrid>
        <w:gridCol w:w="1"/>
        <w:gridCol w:w="140"/>
        <w:gridCol w:w="4260"/>
        <w:gridCol w:w="2860"/>
        <w:gridCol w:w="3540"/>
        <w:gridCol w:w="140"/>
        <w:gridCol w:w="20"/>
        <w:gridCol w:w="140"/>
      </w:tblGrid>
      <w:tr>
        <w:trPr>
          <w:trHeight w:hRule="exact" w:val="0"/>
        </w:trPr>
        <w:tc>
          <w:tcPr>
     </w:tcPr>
          <w:p>
            <w:pPr>
              <w:pStyle w:val="EMPTY_CELL_STYLE"/>
            </w:pPr>
            <w:bookmarkStart w:id="0" w:name="JR_PAGE_ANCHOR_0_1"/>
            <w:bookmarkEnd w:id="0"/>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000"/>
        </w:trPr>
        <w:tc>
          <w:tcPr>
     </w:tcPr>
          <w:p>
            <w:pPr>
              <w:pStyle w:val="EMPTY_CELL_STYLE"/>
            </w:pPr>
          </w:p>
        </w:tc>
        <w:tc>
          <w:tcPr>
            <w:gridSpan w:val="4"/>
            <w:tcMar>
              <w:top w:w="0" w:type="dxa"/>
              <w:left w:w="0" w:type="dxa"/>
              <w:bottom w:w="0" w:type="dxa"/>
              <w:right w:w="0" w:type="dxa"/>
            </w:tcMar>
            <w:vAlign w:val="center"/>
          </w:tcPr>
          <w:p>
            <w:pPr>
              <w:ind/>
              <w:jc w:val="center"/>
            </w:pPr>
            <w:r>
              <w:rPr>
                <w:rFonts w:ascii="宋体" w:hAnsi="宋体" w:eastAsia="宋体" w:cs="宋体"/>
                <w:color w:val="000000"/>
                <w:sz w:val="32"/>
                <w:b w:val="true"/>
              </w:rPr>
              <w:t xml:space="preserve">富聚财富鑫益系列人民币理财计划2508期（产品编号：FX2508）到期公告</w:t>
            </w:r>
          </w:p>
        </w:tc>
        <w:tc>
          <w:tcPr>
     </w:tcPr>
          <w:p>
            <w:pPr>
              <w:pStyle w:val="EMPTY_CELL_STYLE"/>
            </w:pP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pPr>
            <w:r>
              <w:rPr>
                <w:rFonts w:ascii="宋体" w:hAnsi="宋体" w:eastAsia="宋体" w:cs="宋体"/>
                <w:color w:val="000000"/>
                <w:sz w:val="28"/>
              </w:rPr>
              <w:t xml:space="preserve">尊敬的客户：</w:t>
            </w:r>
          </w:p>
        </w:tc>
        <w:tc>
          <w:tcPr>
     </w:tcPr>
          <w:p>
            <w:pPr>
              <w:pStyle w:val="EMPTY_CELL_STYLE"/>
            </w:pPr>
          </w:p>
        </w:tc>
        <w:tc>
          <w:tcPr>
     </w:tcPr>
          <w:p>
            <w:pPr>
              <w:pStyle w:val="EMPTY_CELL_STYLE"/>
            </w:pPr>
          </w:p>
        </w:tc>
      </w:tr>
      <w:tr>
        <w:trPr>
          <w:trHeight w:hRule="exact" w:val="14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firstLine="480"/>
              <w:spacing w:lineRule="auto" w:line="360" w:after="0" w:before="0"/>
            </w:pPr>
            <w:r>
              <w:rPr>
                <w:rFonts w:ascii="宋体" w:hAnsi="宋体" w:eastAsia="宋体" w:cs="宋体"/>
                <w:color w:val="000000"/>
                <w:sz w:val="28"/>
              </w:rPr>
              <w:t xml:space="preserve">本行发行的富聚财富鑫益系列人民币理财计划2508期于2026年5月14日到期，本产品按照产品说明书中规定条款进行投资运作，具体产品业绩表现及所承担的相关费用、费率公示如下：</w:t>
            </w:r>
          </w:p>
        </w:tc>
        <w:tc>
          <w:tcPr>
     </w:tcPr>
          <w:p>
            <w:pPr>
              <w:pStyle w:val="EMPTY_CELL_STYLE"/>
            </w:pPr>
          </w:p>
        </w:tc>
        <w:tc>
          <w:tcPr>
     </w:tcPr>
          <w:p>
            <w:pPr>
              <w:pStyle w:val="EMPTY_CELL_STYLE"/>
            </w:pPr>
          </w:p>
        </w:tc>
      </w:tr>
      <w:tr>
        <w:trPr>
          <w:trHeight w:hRule="exact" w:val="2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600"/>
        </w:trPr>
        <w:tc>
          <w:tcPr>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ind/>
              <w:jc w:val="center"/>
            </w:pPr>
            <w:r>
              <w:rPr>
                <w:rFonts w:ascii="宋体" w:hAnsi="宋体" w:eastAsia="宋体" w:cs="宋体"/>
                <w:color w:val="000000"/>
                <w:sz w:val="32"/>
              </w:rPr>
              <w:t xml:space="preserve">产品名称</w:t>
            </w:r>
          </w:p>
        </w:tc>
        <w:tc>
          <w:tcPr>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ind/>
              <w:jc w:val="center"/>
            </w:pPr>
            <w:r>
              <w:rPr>
                <w:rFonts w:ascii="宋体" w:hAnsi="宋体" w:eastAsia="宋体" w:cs="宋体"/>
                <w:color w:val="000000"/>
                <w:sz w:val="28"/>
              </w:rPr>
              <w:t xml:space="preserve">富聚财富鑫益系列人民币理财计划2508期</w:t>
            </w:r>
          </w:p>
        </w:tc>
        <w:tc>
          <w:tcPr>
     </w:tcPr>
          <w:p>
            <w:pPr>
              <w:pStyle w:val="EMPTY_CELL_STYLE"/>
            </w:pPr>
          </w:p>
        </w:tc>
      </w:tr>
      <w:tr>
        <w:trPr>
          <w:trHeight w:hRule="exact" w:val="600"/>
        </w:trPr>
        <w:tc>
          <w:tcPr>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ind/>
              <w:jc w:val="center"/>
            </w:pPr>
            <w:r>
              <w:rPr>
                <w:rFonts w:ascii="宋体" w:hAnsi="宋体" w:eastAsia="宋体" w:cs="宋体"/>
                <w:color w:val="000000"/>
                <w:sz w:val="32"/>
              </w:rPr>
              <w:t xml:space="preserve">产品代码</w:t>
            </w:r>
          </w:p>
        </w:tc>
        <w:tc>
          <w:tcPr>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ind/>
              <w:jc w:val="center"/>
            </w:pPr>
            <w:r>
              <w:rPr>
                <w:rFonts w:ascii="宋体" w:hAnsi="宋体" w:eastAsia="宋体" w:cs="宋体"/>
                <w:color w:val="000000"/>
                <w:sz w:val="32"/>
              </w:rPr>
              <w:t xml:space="preserve">FX2508</w:t>
            </w:r>
          </w:p>
        </w:tc>
        <w:tc>
          <w:tcPr>
     </w:tcPr>
          <w:p>
            <w:pPr>
              <w:pStyle w:val="EMPTY_CELL_STYLE"/>
            </w:pPr>
          </w:p>
        </w:tc>
      </w:tr>
      <w:tr>
        <w:trPr>
          <w:trHeight w:hRule="exact" w:val="600"/>
        </w:trPr>
        <w:tc>
          <w:tcPr>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ind/>
              <w:jc w:val="center"/>
            </w:pPr>
            <w:r>
              <w:rPr>
                <w:rFonts w:ascii="宋体" w:hAnsi="宋体" w:eastAsia="宋体" w:cs="宋体"/>
                <w:color w:val="000000"/>
                <w:sz w:val="32"/>
              </w:rPr>
              <w:t xml:space="preserve">产品成立日</w:t>
            </w:r>
          </w:p>
        </w:tc>
        <w:tc>
          <w:tcPr>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ind/>
              <w:jc w:val="center"/>
            </w:pPr>
            <w:r>
              <w:rPr>
                <w:rFonts w:ascii="宋体" w:hAnsi="宋体" w:eastAsia="宋体" w:cs="宋体"/>
                <w:color w:val="000000"/>
                <w:sz w:val="32"/>
              </w:rPr>
              <w:t xml:space="preserve">2025年4月2日</w:t>
            </w:r>
          </w:p>
        </w:tc>
        <w:tc>
          <w:tcPr>
     </w:tcPr>
          <w:p>
            <w:pPr>
              <w:pStyle w:val="EMPTY_CELL_STYLE"/>
            </w:pPr>
          </w:p>
        </w:tc>
      </w:tr>
      <w:tr>
        <w:trPr>
          <w:trHeight w:hRule="exact" w:val="600"/>
        </w:trPr>
        <w:tc>
          <w:tcPr>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ind/>
              <w:jc w:val="center"/>
            </w:pPr>
            <w:r>
              <w:rPr>
                <w:rFonts w:ascii="宋体" w:hAnsi="宋体" w:eastAsia="宋体" w:cs="宋体"/>
                <w:color w:val="000000"/>
                <w:sz w:val="32"/>
              </w:rPr>
              <w:t xml:space="preserve">产品到期日</w:t>
            </w:r>
          </w:p>
        </w:tc>
        <w:tc>
          <w:tcPr>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ind/>
              <w:jc w:val="center"/>
            </w:pPr>
            <w:r>
              <w:rPr>
                <w:rFonts w:ascii="宋体" w:hAnsi="宋体" w:eastAsia="宋体" w:cs="宋体"/>
                <w:color w:val="000000"/>
                <w:sz w:val="32"/>
              </w:rPr>
              <w:t xml:space="preserve">2026年5月14日</w:t>
            </w:r>
          </w:p>
        </w:tc>
        <w:tc>
          <w:tcPr>
     </w:tcPr>
          <w:p>
            <w:pPr>
              <w:pStyle w:val="EMPTY_CELL_STYLE"/>
            </w:pPr>
          </w:p>
        </w:tc>
      </w:tr>
      <w:tr>
        <w:trPr>
          <w:trHeight w:hRule="exact" w:val="600"/>
        </w:trPr>
        <w:tc>
          <w:tcPr>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ind/>
              <w:jc w:val="center"/>
            </w:pPr>
            <w:r>
              <w:rPr>
                <w:rFonts w:ascii="宋体" w:hAnsi="宋体" w:eastAsia="宋体" w:cs="宋体"/>
                <w:color w:val="000000"/>
                <w:sz w:val="32"/>
              </w:rPr>
              <w:t xml:space="preserve">产品存续期</w:t>
            </w:r>
          </w:p>
        </w:tc>
        <w:tc>
          <w:tcPr>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ind/>
              <w:jc w:val="center"/>
            </w:pPr>
            <w:r>
              <w:rPr>
                <w:rFonts w:ascii="宋体" w:hAnsi="宋体" w:eastAsia="宋体" w:cs="宋体"/>
                <w:color w:val="000000"/>
                <w:sz w:val="32"/>
              </w:rPr>
              <w:t xml:space="preserve">407天</w:t>
            </w:r>
          </w:p>
        </w:tc>
        <w:tc>
          <w:tcPr>
     </w:tcPr>
          <w:p>
            <w:pPr>
              <w:pStyle w:val="EMPTY_CELL_STYLE"/>
            </w:pPr>
          </w:p>
        </w:tc>
      </w:tr>
      <w:tr>
        <w:trPr>
          <w:trHeight w:hRule="exact" w:val="600"/>
        </w:trPr>
        <w:tc>
          <w:tcPr>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ind/>
              <w:jc w:val="center"/>
            </w:pPr>
            <w:r>
              <w:rPr>
                <w:rFonts w:ascii="宋体" w:hAnsi="宋体" w:eastAsia="宋体" w:cs="宋体"/>
                <w:color w:val="000000"/>
                <w:sz w:val="32"/>
              </w:rPr>
              <w:t xml:space="preserve">产品兑付净值</w:t>
            </w:r>
          </w:p>
        </w:tc>
        <w:tc>
          <w:tcPr>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ind/>
              <w:jc w:val="center"/>
            </w:pPr>
            <w:r>
              <w:rPr>
                <w:rFonts w:ascii="宋体" w:hAnsi="宋体" w:eastAsia="宋体" w:cs="宋体"/>
                <w:color w:val="000000"/>
                <w:sz w:val="32"/>
              </w:rPr>
              <w:t xml:space="preserve">1.0364</w:t>
            </w:r>
          </w:p>
        </w:tc>
        <w:tc>
          <w:tcPr>
     </w:tcPr>
          <w:p>
            <w:pPr>
              <w:pStyle w:val="EMPTY_CELL_STYLE"/>
            </w:pPr>
          </w:p>
        </w:tc>
      </w:tr>
      <w:tr>
        <w:trPr>
          <w:trHeight w:hRule="exact" w:val="600"/>
        </w:trPr>
        <w:tc>
          <w:tcPr>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ind/>
              <w:jc w:val="center"/>
            </w:pPr>
            <w:r>
              <w:rPr>
                <w:rFonts w:ascii="宋体" w:hAnsi="宋体" w:eastAsia="宋体" w:cs="宋体"/>
                <w:color w:val="000000"/>
                <w:sz w:val="32"/>
              </w:rPr>
              <w:t xml:space="preserve">产品业绩比较基准</w:t>
            </w:r>
          </w:p>
        </w:tc>
        <w:tc>
          <w:tcPr>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ind/>
              <w:jc w:val="center"/>
            </w:pPr>
            <w:r>
              <w:rPr>
                <w:rFonts w:ascii="宋体" w:hAnsi="宋体" w:eastAsia="宋体" w:cs="宋体"/>
                <w:color w:val="000000"/>
                <w:sz w:val="32"/>
              </w:rPr>
              <w:t xml:space="preserve">2.5-3.3 %</w:t>
            </w:r>
          </w:p>
        </w:tc>
        <w:tc>
          <w:tcPr>
     </w:tcPr>
          <w:p>
            <w:pPr>
              <w:pStyle w:val="EMPTY_CELL_STYLE"/>
            </w:pPr>
          </w:p>
        </w:tc>
      </w:tr>
      <w:tr>
        <w:trPr>
          <w:trHeight w:hRule="exact" w:val="600"/>
        </w:trPr>
        <w:tc>
          <w:tcPr>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ind/>
              <w:jc w:val="center"/>
            </w:pPr>
            <w:r>
              <w:rPr>
                <w:rFonts w:ascii="宋体" w:hAnsi="宋体" w:eastAsia="宋体" w:cs="宋体"/>
                <w:color w:val="000000"/>
                <w:sz w:val="32"/>
              </w:rPr>
              <w:t xml:space="preserve">产品超额业绩计提基准</w:t>
            </w:r>
          </w:p>
        </w:tc>
        <w:tc>
          <w:tcPr>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ind/>
              <w:jc w:val="center"/>
            </w:pPr>
            <w:r>
              <w:rPr>
                <w:rFonts w:ascii="宋体" w:hAnsi="宋体" w:eastAsia="宋体" w:cs="宋体"/>
                <w:color w:val="000000"/>
                <w:sz w:val="32"/>
              </w:rPr>
              <w:t xml:space="preserve">2.9 %</w:t>
            </w:r>
          </w:p>
        </w:tc>
        <w:tc>
          <w:tcPr>
     </w:tcPr>
          <w:p>
            <w:pPr>
              <w:pStyle w:val="EMPTY_CELL_STYLE"/>
            </w:pPr>
          </w:p>
        </w:tc>
      </w:tr>
      <w:tr>
        <w:trPr>
          <w:trHeight w:hRule="exact" w:val="600"/>
        </w:trPr>
        <w:tc>
          <w:tcPr>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ind/>
              <w:jc w:val="center"/>
            </w:pPr>
            <w:r>
              <w:rPr>
                <w:rFonts w:ascii="宋体" w:hAnsi="宋体" w:eastAsia="宋体" w:cs="宋体"/>
                <w:color w:val="000000"/>
                <w:sz w:val="32"/>
              </w:rPr>
              <w:t xml:space="preserve">产品实际兑付收益（年化）</w:t>
            </w:r>
          </w:p>
        </w:tc>
        <w:tc>
          <w:tcPr>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ind/>
              <w:jc w:val="center"/>
            </w:pPr>
            <w:r>
              <w:rPr>
                <w:rFonts w:ascii="宋体" w:hAnsi="宋体" w:eastAsia="宋体" w:cs="宋体"/>
                <w:color w:val="000000"/>
                <w:sz w:val="32"/>
              </w:rPr>
              <w:t xml:space="preserve">3.27%</w:t>
            </w:r>
          </w:p>
        </w:tc>
        <w:tc>
          <w:tcPr>
     </w:tcPr>
          <w:p>
            <w:pPr>
              <w:pStyle w:val="EMPTY_CELL_STYLE"/>
            </w:pPr>
          </w:p>
        </w:tc>
      </w:tr>
      <w:tr>
        <w:trPr>
          <w:trHeight w:hRule="exact" w:val="600"/>
        </w:trPr>
        <w:tc>
          <w:tcPr>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ind/>
              <w:jc w:val="center"/>
            </w:pPr>
            <w:r>
              <w:rPr>
                <w:rFonts w:ascii="宋体" w:hAnsi="宋体" w:eastAsia="宋体" w:cs="宋体"/>
                <w:color w:val="000000"/>
                <w:sz w:val="32"/>
              </w:rPr>
              <w:t xml:space="preserve">兑付客户总金额（元）</w:t>
            </w:r>
          </w:p>
        </w:tc>
        <w:tc>
          <w:tcPr>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ind/>
              <w:jc w:val="center"/>
            </w:pPr>
            <w:r>
              <w:rPr>
                <w:rFonts w:ascii="宋体" w:hAnsi="宋体" w:eastAsia="宋体" w:cs="宋体"/>
                <w:color w:val="000000"/>
                <w:sz w:val="32"/>
              </w:rPr>
              <w:t xml:space="preserve">62,958,190.80</w:t>
            </w:r>
          </w:p>
        </w:tc>
        <w:tc>
          <w:tcPr>
     </w:tcPr>
          <w:p>
            <w:pPr>
              <w:pStyle w:val="EMPTY_CELL_STYLE"/>
            </w:pPr>
          </w:p>
        </w:tc>
      </w:tr>
      <w:tr>
        <w:trPr>
          <w:trHeight w:hRule="exact" w:val="600"/>
        </w:trPr>
        <w:tc>
          <w:tcPr>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ind/>
              <w:jc w:val="center"/>
            </w:pPr>
            <w:r>
              <w:rPr>
                <w:rFonts w:ascii="宋体" w:hAnsi="宋体" w:eastAsia="宋体" w:cs="宋体"/>
                <w:color w:val="000000"/>
                <w:sz w:val="32"/>
              </w:rPr>
              <w:t xml:space="preserve">固定管理费率（年）</w:t>
            </w:r>
          </w:p>
        </w:tc>
        <w:tc>
          <w:tcPr>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ind/>
              <w:jc w:val="center"/>
            </w:pPr>
            <w:r>
              <w:rPr>
                <w:rFonts w:ascii="宋体" w:hAnsi="宋体" w:eastAsia="宋体" w:cs="宋体"/>
                <w:color w:val="000000"/>
                <w:sz w:val="32"/>
              </w:rPr>
              <w:t xml:space="preserve">0.3%</w:t>
            </w:r>
          </w:p>
        </w:tc>
        <w:tc>
          <w:tcPr>
     </w:tcPr>
          <w:p>
            <w:pPr>
              <w:pStyle w:val="EMPTY_CELL_STYLE"/>
            </w:pPr>
          </w:p>
        </w:tc>
      </w:tr>
      <w:tr>
        <w:trPr>
          <w:trHeight w:hRule="exact" w:val="600"/>
        </w:trPr>
        <w:tc>
          <w:tcPr>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ind/>
              <w:jc w:val="center"/>
            </w:pPr>
            <w:r>
              <w:rPr>
                <w:rFonts w:ascii="宋体" w:hAnsi="宋体" w:eastAsia="宋体" w:cs="宋体"/>
                <w:color w:val="000000"/>
                <w:sz w:val="32"/>
              </w:rPr>
              <w:t xml:space="preserve">固定管理费（元）</w:t>
            </w:r>
          </w:p>
        </w:tc>
        <w:tc>
          <w:tcPr>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ind/>
              <w:jc w:val="center"/>
            </w:pPr>
            <w:r>
              <w:rPr>
                <w:rFonts w:ascii="宋体" w:hAnsi="宋体" w:eastAsia="宋体" w:cs="宋体"/>
                <w:color w:val="000000"/>
                <w:sz w:val="32"/>
              </w:rPr>
              <w:t xml:space="preserve">203,211.03</w:t>
            </w:r>
          </w:p>
        </w:tc>
        <w:tc>
          <w:tcPr>
     </w:tcPr>
          <w:p>
            <w:pPr>
              <w:pStyle w:val="EMPTY_CELL_STYLE"/>
            </w:pPr>
          </w:p>
        </w:tc>
      </w:tr>
      <w:tr>
        <w:trPr>
          <w:trHeight w:hRule="exact" w:val="600"/>
        </w:trPr>
        <w:tc>
          <w:tcPr>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ind/>
              <w:jc w:val="center"/>
            </w:pPr>
            <w:r>
              <w:rPr>
                <w:rFonts w:ascii="宋体" w:hAnsi="宋体" w:eastAsia="宋体" w:cs="宋体"/>
                <w:color w:val="000000"/>
                <w:sz w:val="32"/>
              </w:rPr>
              <w:t xml:space="preserve">托管费率（年）</w:t>
            </w:r>
          </w:p>
        </w:tc>
        <w:tc>
          <w:tcPr>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ind/>
              <w:jc w:val="center"/>
            </w:pPr>
            <w:r>
              <w:rPr>
                <w:rFonts w:ascii="宋体" w:hAnsi="宋体" w:eastAsia="宋体" w:cs="宋体"/>
                <w:color w:val="000000"/>
                <w:sz w:val="32"/>
              </w:rPr>
              <w:t xml:space="preserve">0.01%</w:t>
            </w:r>
          </w:p>
        </w:tc>
        <w:tc>
          <w:tcPr>
     </w:tcPr>
          <w:p>
            <w:pPr>
              <w:pStyle w:val="EMPTY_CELL_STYLE"/>
            </w:pPr>
          </w:p>
        </w:tc>
      </w:tr>
      <w:tr>
        <w:trPr>
          <w:trHeight w:hRule="exact" w:val="600"/>
        </w:trPr>
        <w:tc>
          <w:tcPr>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ind/>
              <w:jc w:val="center"/>
            </w:pPr>
            <w:r>
              <w:rPr>
                <w:rFonts w:ascii="宋体" w:hAnsi="宋体" w:eastAsia="宋体" w:cs="宋体"/>
                <w:color w:val="000000"/>
                <w:sz w:val="32"/>
              </w:rPr>
              <w:t xml:space="preserve">托管费（元）</w:t>
            </w:r>
          </w:p>
        </w:tc>
        <w:tc>
          <w:tcPr>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ind/>
              <w:jc w:val="center"/>
            </w:pPr>
            <w:r>
              <w:rPr>
                <w:rFonts w:ascii="宋体" w:hAnsi="宋体" w:eastAsia="宋体" w:cs="宋体"/>
                <w:color w:val="000000"/>
                <w:sz w:val="32"/>
              </w:rPr>
              <w:t xml:space="preserve">6,772.48</w:t>
            </w:r>
          </w:p>
        </w:tc>
        <w:tc>
          <w:tcPr>
     </w:tcPr>
          <w:p>
            <w:pPr>
              <w:pStyle w:val="EMPTY_CELL_STYLE"/>
            </w:pPr>
          </w:p>
        </w:tc>
      </w:tr>
      <w:tr>
        <w:trPr>
          <w:trHeight w:hRule="exact" w:val="1000"/>
        </w:trPr>
        <w:tc>
          <w:tcPr>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ind/>
              <w:jc w:val="center"/>
            </w:pPr>
            <w:r>
              <w:rPr>
                <w:rFonts w:ascii="宋体" w:hAnsi="宋体" w:eastAsia="宋体" w:cs="宋体"/>
                <w:color w:val="000000"/>
                <w:sz w:val="32"/>
              </w:rPr>
              <w:t xml:space="preserve">浮动业绩报酬/浮动管理费率</w:t>
            </w:r>
          </w:p>
        </w:tc>
        <w:tc>
          <w:tcPr>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ind/>
              <w:jc w:val="center"/>
            </w:pPr>
            <w:r>
              <w:rPr>
                <w:rFonts w:ascii="宋体" w:hAnsi="宋体" w:eastAsia="宋体" w:cs="宋体"/>
                <w:color w:val="000000"/>
                <w:sz w:val="32"/>
              </w:rPr>
              <w:t xml:space="preserve">到期时实际年化收益率超过浮动业绩报酬计提基准，则超出部分管理人收取50%。</w:t>
            </w:r>
          </w:p>
        </w:tc>
        <w:tc>
          <w:tcPr>
     </w:tcPr>
          <w:p>
            <w:pPr>
              <w:pStyle w:val="EMPTY_CELL_STYLE"/>
            </w:pPr>
          </w:p>
        </w:tc>
      </w:tr>
      <w:tr>
        <w:trPr>
          <w:trHeight w:hRule="exact" w:val="600"/>
        </w:trPr>
        <w:tc>
          <w:tcPr>
     </w:tcPr>
          <w:p>
            <w:pPr>
              <w:pStyle w:val="EMPTY_CELL_STYLE"/>
            </w:pPr>
          </w:p>
        </w:tc>
        <w:tc>
          <w:tcPr>
     </w:tcPr>
          <w:p>
            <w:pPr>
              <w:pStyle w:val="EMPTY_CELL_STYLE"/>
            </w:pPr>
          </w:p>
        </w:tc>
        <w:tc>
          <w:tcPr>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pPr>
              <w:ind/>
              <w:jc w:val="center"/>
            </w:pPr>
            <w:r>
              <w:rPr>
                <w:rFonts w:ascii="宋体" w:hAnsi="宋体" w:eastAsia="宋体" w:cs="宋体"/>
                <w:color w:val="000000"/>
                <w:sz w:val="32"/>
              </w:rPr>
              <w:t xml:space="preserve">浮动管理费（元）</w:t>
            </w:r>
          </w:p>
        </w:tc>
        <w:tc>
          <w:tcPr>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top"/>
          </w:tcPr>
          <w:p>
            <w:pPr>
              <w:ind/>
              <w:jc w:val="center"/>
            </w:pPr>
            <w:r>
              <w:rPr>
                <w:rFonts w:ascii="宋体" w:hAnsi="宋体" w:eastAsia="宋体" w:cs="宋体"/>
                <w:color w:val="000000"/>
                <w:sz w:val="32"/>
              </w:rPr>
              <w:t xml:space="preserve">249,467.40</w:t>
            </w:r>
          </w:p>
        </w:tc>
        <w:tc>
          <w:tcPr>
     </w:tcPr>
          <w:p>
            <w:pPr>
              <w:pStyle w:val="EMPTY_CELL_STYLE"/>
            </w:pPr>
          </w:p>
        </w:tc>
      </w:tr>
      <w:tr>
        <w:trPr>
          <w:trHeight w:hRule="exact" w:val="1400"/>
        </w:trPr>
        <w:tc>
          <w:tcPr>
     </w:tcPr>
          <w:p>
            <w:pPr>
              <w:pStyle w:val="EMPTY_CELL_STYLE"/>
            </w:pPr>
          </w:p>
        </w:tc>
        <w:tc>
          <w:tcPr>
     </w:tcPr>
          <w:p>
            <w:pPr>
              <w:pStyle w:val="EMPTY_CELL_STYLE"/>
            </w:pPr>
          </w:p>
        </w:tc>
        <w:tc>
          <w:tcPr>
            <w:gridSpan w:val="4"/>
            <w:tcMar>
              <w:top w:w="0" w:type="dxa"/>
              <w:left w:w="0" w:type="dxa"/>
              <w:bottom w:w="0" w:type="dxa"/>
              <w:right w:w="0" w:type="dxa"/>
            </w:tcMar>
            <w:vAlign w:val="center"/>
          </w:tcPr>
          <w:p>
            <w:pPr>
              <w:ind w:firstLine="480"/>
              <w:spacing w:lineRule="auto" w:line="360" w:after="0" w:before="0"/>
            </w:pPr>
            <w:r>
              <w:rPr>
                <w:rFonts w:ascii="宋体" w:hAnsi="宋体" w:eastAsia="宋体" w:cs="宋体"/>
                <w:color w:val="000000"/>
                <w:sz w:val="28"/>
              </w:rPr>
              <w:t xml:space="preserve">富滇银行在约定时间内将投资者理财本金及收益划转至投资者指定账户，具体到账日期以产品说明书为准。感谢您一直以来对富滇银行的支持！敬请继续关注富滇银行正在销售的其他理财产品。</w:t>
            </w:r>
          </w:p>
        </w:tc>
        <w:tc>
          <w:tcPr>
     </w:tcPr>
          <w:p>
            <w:pPr>
              <w:pStyle w:val="EMPTY_CELL_STYLE"/>
            </w:pPr>
          </w:p>
        </w:tc>
        <w:tc>
          <w:tcPr>
     </w:tcPr>
          <w:p>
            <w:pPr>
              <w:pStyle w:val="EMPTY_CELL_STYLE"/>
            </w:pPr>
          </w:p>
        </w:tc>
      </w:tr>
      <w:tr>
        <w:trPr>
          <w:trHeight w:hRule="exact" w:val="400"/>
        </w:trPr>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c>
          <w:tcPr>
     </w:tcPr>
          <w:p>
            <w:pPr>
              <w:pStyle w:val="EMPTY_CELL_STYLE"/>
            </w:pPr>
          </w:p>
        </w:tc>
      </w:tr>
      <w:tr>
        <w:trPr>
          <w:trHeight w:hRule="exact" w:val="14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restart"/>
            <w:tcMar>
              <w:top w:w="0" w:type="dxa"/>
              <w:left w:w="0" w:type="dxa"/>
              <w:bottom w:w="0" w:type="dxa"/>
              <w:right w:w="0" w:type="dxa"/>
            </w:tcMar>
            <w:vAlign w:val="center"/>
          </w:tcPr>
          <w:p>
            <w:pPr>
              <w:ind/>
              <w:jc w:val="right"/>
            </w:pPr>
            <w:r>
              <w:rPr>
                <w:rFonts w:ascii="宋体" w:hAnsi="宋体" w:eastAsia="宋体" w:cs="宋体"/>
                <w:color w:val="000000"/>
                <w:sz w:val="28"/>
              </w:rPr>
              <w:t xml:space="preserve">富滇银行股份有限公司</w:t>
            </w:r>
          </w:p>
        </w:tc>
        <w:tc>
          <w:tcPr>
     </w:tcPr>
          <w:p>
            <w:pPr>
              <w:pStyle w:val="EMPTY_CELL_STYLE"/>
            </w:pPr>
          </w:p>
        </w:tc>
      </w:tr>
      <w:tr>
        <w:trPr>
          <w:trHeight w:hRule="exact" w:val="26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vMerge w:val="continue"/>
            <w:tcMar>
              <w:top w:w="0" w:type="dxa"/>
              <w:left w:w="0" w:type="dxa"/>
              <w:bottom w:w="0" w:type="dxa"/>
              <w:right w:w="0" w:type="dxa"/>
            </w:tcMar>
            <w:vAlign w:val="center"/>
          </w:tcPr>
          <w:p>
            <w:pPr>
              <w:pStyle w:val="EMPTY_CELL_STYLE"/>
            </w:pPr>
          </w:p>
        </w:tc>
        <w:tc>
          <w:tcPr>
     </w:tcPr>
          <w:p>
            <w:pPr>
              <w:pStyle w:val="EMPTY_CELL_STYLE"/>
            </w:pPr>
          </w:p>
        </w:tc>
      </w:tr>
      <w:tr>
        <w:trPr>
          <w:trHeight w:hRule="exact" w:val="420"/>
        </w:trPr>
        <w:tc>
          <w:tcPr>
     </w:tcPr>
          <w:p>
            <w:pPr>
              <w:pStyle w:val="EMPTY_CELL_STYLE"/>
            </w:pPr>
          </w:p>
        </w:tc>
        <w:tc>
          <w:tcPr>
     </w:tcPr>
          <w:p>
            <w:pPr>
              <w:pStyle w:val="EMPTY_CELL_STYLE"/>
            </w:pPr>
          </w:p>
        </w:tc>
        <w:tc>
          <w:tcPr>
     </w:tcPr>
          <w:p>
            <w:pPr>
              <w:pStyle w:val="EMPTY_CELL_STYLE"/>
            </w:pPr>
          </w:p>
        </w:tc>
        <w:tc>
          <w:tcPr>
     </w:tcPr>
          <w:p>
            <w:pPr>
              <w:pStyle w:val="EMPTY_CELL_STYLE"/>
            </w:pPr>
          </w:p>
        </w:tc>
        <w:tc>
          <w:tcPr>
            <w:gridSpan w:val="3"/>
            <w:tcMar>
              <w:top w:w="0" w:type="dxa"/>
              <w:left w:w="0" w:type="dxa"/>
              <w:bottom w:w="0" w:type="dxa"/>
              <w:right w:w="0" w:type="dxa"/>
            </w:tcMar>
            <w:vAlign w:val="center"/>
          </w:tcPr>
          <w:p>
            <w:pPr>
              <w:ind/>
              <w:jc w:val="right"/>
            </w:pPr>
            <w:r>
              <w:rPr>
                <w:rFonts w:ascii="宋体" w:hAnsi="宋体" w:eastAsia="宋体" w:cs="宋体"/>
                <w:color w:val="000000"/>
                <w:sz w:val="28"/>
              </w:rPr>
              <w:t xml:space="preserve">2026年5月14日</w:t>
            </w:r>
          </w:p>
        </w:tc>
        <w:tc>
          <w:tcPr>
     </w:tcPr>
          <w:p>
            <w:pPr>
              <w:pStyle w:val="EMPTY_CELL_STYLE"/>
            </w:pPr>
          </w:p>
        </w:tc>
      </w:tr>
    </w:tbl>
    <w:sectPr>
      <w:pgSz w:w="11900" w:h="16840" w:orient="portrait"/>
      <w:pgMar w:top="200" w:right="400" w:bottom="40" w:left="400" w:header="0" w:footer="0" w:gutter="0"/>
      <w:docGrid w:linePitch="360"/>
    </w:sectPr>
  </w:body>
</w:document>
</file>

<file path=word/settings.xml><?xml version="1.0" encoding="utf-8"?>
<w:settings xmlns:w="http://schemas.openxmlformats.org/wordprocessingml/2006/main">
  <w:defaultTabStop w:val="800"/>
</w:settings>
</file>

<file path=word/styles.xml><?xml version="1.0" encoding="utf-8"?>
<w:styles xmlns:r="http://schemas.openxmlformats.org/officeDocument/2006/relationships" xmlns:w="http://schemas.openxmlformats.org/wordprocessingml/2006/main">
  <w:docDefaults>
    <w:rPrDefault>
  </w:rPrDefault>
    <w:pPrDefault>
      <w:pPr>
        <w:spacing w:line="240"/>
      </w:pPr>
    </w:pPrDefault>
  </w:docDefaults>
  <w:style w:type="paragraph" w:styleId="EMPTY_CELL_STYLE">
    <w:name w:val="EMPTY_CELL_STYLE"/>
    <w:qFormat/>
    <w:pPr>
      <w:ind/>
    </w:pPr>
    <w:rPr>
      <w:rFonts w:ascii="SansSerif" w:hAnsi="SansSerif" w:eastAsia="SansSerif" w:cs="SansSerif"/>
      <w:color w:val="000000"/>
      <w:sz w:val="1"/>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

<file path=docProps/app.xml><?xml version="1.0" encoding="utf-8"?>
<Properties xmlns="http://schemas.openxmlformats.org/officeDocument/2006/extended-properties">
  <Application>JasperReports Library version 6.6.0</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oreProperties>
</file>