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40"/>
        <w:gridCol w:w="4260"/>
        <w:gridCol w:w="2860"/>
        <w:gridCol w:w="3540"/>
        <w:gridCol w:w="140"/>
        <w:gridCol w:w="20"/>
        <w:gridCol w:w="140"/>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4"/>
            <w:tcMar>
              <w:top w:w="0" w:type="dxa"/>
              <w:left w:w="0" w:type="dxa"/>
              <w:bottom w:w="0" w:type="dxa"/>
              <w:right w:w="0" w:type="dxa"/>
            </w:tcMar>
            <w:vAlign w:val="center"/>
          </w:tcPr>
          <w:p>
            <w:pPr>
              <w:ind/>
              <w:jc w:val="center"/>
            </w:pPr>
            <w:r>
              <w:rPr>
                <w:rFonts w:ascii="宋体" w:hAnsi="宋体" w:eastAsia="宋体" w:cs="宋体"/>
                <w:color w:val="000000"/>
                <w:sz w:val="32"/>
                <w:b w:val="true"/>
              </w:rPr>
              <w:t xml:space="preserve">富聚财富鑫益系列人民币理财计划2507期（产品编号：FX2507）到期公告</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宋体" w:hAnsi="宋体" w:eastAsia="宋体" w:cs="宋体"/>
                <w:color w:val="000000"/>
                <w:sz w:val="28"/>
              </w:rPr>
              <w:t xml:space="preserve">尊敬的客户：</w:t>
            </w: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480"/>
              <w:spacing w:lineRule="auto" w:line="360" w:after="0" w:before="0"/>
            </w:pPr>
            <w:r>
              <w:rPr>
                <w:rFonts w:ascii="宋体" w:hAnsi="宋体" w:eastAsia="宋体" w:cs="宋体"/>
                <w:color w:val="000000"/>
                <w:sz w:val="28"/>
              </w:rPr>
              <w:t xml:space="preserve">本行发行的富聚财富鑫益系列人民币理财计划2507期于2026年4月23日到期，本产品按照产品说明书中规定条款进行投资运作，具体产品业绩表现及所承担的相关费用、费率公示如下：</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产品名称</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28"/>
              </w:rPr>
              <w:t xml:space="preserve">富聚财富鑫益系列人民币理财计划2507期</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产品代码</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FX2507</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产品成立日</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2025年3月26日</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产品到期日</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2026年4月23日</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产品存续期</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393天</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产品兑付净值</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1.0358</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产品业绩比较基准</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2.4-3.2 %</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产品超额业绩计提基准</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2.8 %</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产品实际兑付收益（年化）</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3.33%</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兑付客户总金额（元）</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72,919,284.20</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固定管理费率（年）</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0.3%</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固定管理费（元）</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227,397.66</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托管费率（年）</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0.01%</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托管费（元）</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7,580.97</w:t>
            </w:r>
          </w:p>
        </w:tc>
        <w:tc>
          <w:tcPr>
     </w:tcPr>
          <w:p>
            <w:pPr>
              <w:pStyle w:val="EMPTY_CELL_STYLE"/>
            </w:pPr>
          </w:p>
        </w:tc>
      </w:tr>
      <w:tr>
        <w:trPr>
          <w:trHeight w:hRule="exact" w:val="10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浮动业绩报酬/浮动管理费率</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到期时实际年化收益率超过浮动业绩报酬计提基准，则超出部分管理人收取50%。</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浮动管理费（元）</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396,153.74</w:t>
            </w:r>
          </w:p>
        </w:tc>
        <w:tc>
          <w:tcPr>
     </w:tcPr>
          <w:p>
            <w:pPr>
              <w:pStyle w:val="EMPTY_CELL_STYLE"/>
            </w:pPr>
          </w:p>
        </w:tc>
      </w:tr>
      <w:tr>
        <w:trPr>
          <w:trHeight w:hRule="exact" w:val="14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480"/>
              <w:spacing w:lineRule="auto" w:line="360" w:after="0" w:before="0"/>
            </w:pPr>
            <w:r>
              <w:rPr>
                <w:rFonts w:ascii="宋体" w:hAnsi="宋体" w:eastAsia="宋体" w:cs="宋体"/>
                <w:color w:val="000000"/>
                <w:sz w:val="28"/>
              </w:rPr>
              <w:t xml:space="preserve">富滇银行在约定时间内将投资者理财本金及收益划转至投资者指定账户，具体到账日期以产品说明书为准。感谢您一直以来对富滇银行的支持！敬请继续关注富滇银行正在销售的其他理财产品。</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right"/>
            </w:pPr>
            <w:r>
              <w:rPr>
                <w:rFonts w:ascii="宋体" w:hAnsi="宋体" w:eastAsia="宋体" w:cs="宋体"/>
                <w:color w:val="000000"/>
                <w:sz w:val="28"/>
              </w:rPr>
              <w:t xml:space="preserve">富滇银行股份有限公司</w:t>
            </w: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宋体" w:hAnsi="宋体" w:eastAsia="宋体" w:cs="宋体"/>
                <w:color w:val="000000"/>
                <w:sz w:val="28"/>
              </w:rPr>
              <w:t xml:space="preserve">2026年4月23日</w:t>
            </w:r>
          </w:p>
        </w:tc>
        <w:tc>
          <w:tcPr>
     </w:tcPr>
          <w:p>
            <w:pPr>
              <w:pStyle w:val="EMPTY_CELL_STYLE"/>
            </w:pPr>
          </w:p>
        </w:tc>
      </w:tr>
    </w:tbl>
    <w:sectPr>
      <w:pgSz w:w="11900" w:h="16840" w:orient="portrait"/>
      <w:pgMar w:top="200" w:right="400" w:bottom="40" w:left="4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